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39.png" ContentType="image/png"/>
  <Override PartName="/word/media/rId40.png" ContentType="image/png"/>
  <Override PartName="/word/media/rId35.png" ContentType="image/png"/>
  <Override PartName="/word/media/rId26.png" ContentType="image/png"/>
  <Override PartName="/word/media/rId141.png" ContentType="image/png"/>
  <Override PartName="/word/media/rId39.png" ContentType="image/png"/>
  <Override PartName="/word/media/rId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Style w:val="Compact"/>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r>
        <w:t xml:space="preserve"> </w:t>
      </w:r>
      <w:r>
        <w:t xml:space="preserve">Anthropogenic impacts, GPS tracking, Home range, Human Footprint Index, Space use</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can not be expected to be consistent across taxa. For instance, while</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w:t>
      </w:r>
    </w:p>
    <w:p>
      <w:pPr>
        <w:pStyle w:val="BodyText"/>
      </w:pPr>
      <w:r>
        <w:t xml:space="preserve">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 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and annual rainfall is 1347 mm (Faria and Pires 2006). The Park is part of the</w:t>
      </w:r>
      <w:r>
        <w:t xml:space="preserve"> </w:t>
      </w:r>
      <w:r>
        <w:t xml:space="preserve">“</w:t>
      </w:r>
      <w:r>
        <w:t xml:space="preserve">Planalto Forest,</w:t>
      </w:r>
      <w:r>
        <w:t xml:space="preserve">”</w:t>
      </w:r>
      <w:r>
        <w:t xml:space="preserve"> </w:t>
      </w:r>
      <w:r>
        <w:t xml:space="preserve">which is distinguished from the coastal forest of the Atlantic Forest biome by having lower annual rainfall and a marked dry season from May to September, and is thus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and is situated far away from the edges of the biome where deforestation and other anthropogenic threats are occurring. Cattle are raised extensively over native grasses. The average annual temperature is 25°C and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2200 km² mosaic of private properties (cattle ranches and farms) and landless people settlements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and annual rainfall is 1185 mm.</w:t>
      </w:r>
    </w:p>
    <w:p>
      <w:pPr>
        <w:pStyle w:val="BodyText"/>
      </w:pPr>
      <w:r>
        <w:t xml:space="preserve">In each study site, tapir were captured by darting after physical restraint in either box traps or pitfall traps, or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 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individuals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 In addition to the tapir location data, we collected 883 and 174 measurements from tags in fixed locations in the Pantanal and Cerrado, respectively in order to calibrate the measurement error of the GPS tracking collars.</w:t>
      </w:r>
    </w:p>
    <w:p>
      <w:pPr>
        <w:pStyle w:val="CaptionedFigure"/>
      </w:pPr>
      <w:r>
        <w:drawing>
          <wp:inline>
            <wp:extent cx="5334000" cy="4581071"/>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_NEW.png" id="0" name="Picture"/>
                    <pic:cNvPicPr>
                      <a:picLocks noChangeArrowheads="1" noChangeAspect="1"/>
                    </pic:cNvPicPr>
                  </pic:nvPicPr>
                  <pic:blipFill>
                    <a:blip r:embed="rId26"/>
                    <a:stretch>
                      <a:fillRect/>
                    </a:stretch>
                  </pic:blipFill>
                  <pic:spPr bwMode="auto">
                    <a:xfrm>
                      <a:off x="0" y="0"/>
                      <a:ext cx="5334000" cy="4581071"/>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Initial exploratory analyses were carried out in</w:t>
      </w:r>
      <w:r>
        <w:t xml:space="preserve"> </w:t>
      </w:r>
      <w:r>
        <w:rPr>
          <w:rStyle w:val="VerbatimChar"/>
        </w:rPr>
        <w:t xml:space="preserve">ctmmweb</w:t>
      </w:r>
      <w:r>
        <w:t xml:space="preserve"> </w:t>
      </w:r>
      <w:r>
        <w:t xml:space="preserve">(version 0.2.11, Calabrese et al. 2021)</w:t>
      </w:r>
      <w:r>
        <w:t xml:space="preserve">. 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locations were carried forward in the analyses. Measurement error on the GPS data was calibrated using a unitless Horizontal Dilution of Precision (HDOP), which quantifies the accuracy of each positional fix. We then estimated an equivalent range error with the HDOP values from the tags in fixed locations.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(Johnson:2008eq,</w:t>
      </w:r>
      <w:r>
        <w:t xml:space="preserve"> </w:t>
      </w:r>
      <w:r>
        <w:t xml:space="preserve">Chris H. Fleming et al. (2014)</w:t>
      </w:r>
      <w:r>
        <w:t xml:space="preserve">,</w:t>
      </w:r>
      <w:r>
        <w:t xml:space="preserve"> </w:t>
      </w:r>
      <w:r>
        <w:t xml:space="preserve">Blackwell et al. (2016)</w:t>
      </w:r>
      <w:r>
        <w:t xml:space="preserve">) and they account for spatio-temporal autocorrelation in the data (when necessary), so they are robust to irregular or frequent sampling frequency</w:t>
      </w:r>
      <w:r>
        <w:t xml:space="preserve"> </w:t>
      </w:r>
      <w:r>
        <w:t xml:space="preserve">(C. H. Fleming et al. 2018)</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on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For the Atlantic Forest, we used the habitat map provided in the park’s management plan</w:t>
      </w:r>
      <w:r>
        <w:t xml:space="preserve"> </w:t>
      </w:r>
      <w:r>
        <w:t xml:space="preserve">(Helder Faria and Pires 2006)</w:t>
      </w:r>
      <w:r>
        <w:t xml:space="preserve">. For the Pantanal and Cerrado, we obtained satellite imagery from the periods of data collection. Habitat classification was then carried out using GIS software, and a team of researchers confirmed the classifications in the field.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2" w:name="results"/>
    <w:p>
      <w:pPr>
        <w:pStyle w:val="Heading1"/>
      </w:pPr>
      <w:r>
        <w:t xml:space="preserve">Results</w:t>
      </w:r>
    </w:p>
    <w:bookmarkStart w:id="38" w:name="X5098fd6469a5e131273aa1f3639e658bf1d24f3"/>
    <w:p>
      <w:pPr>
        <w:pStyle w:val="Heading2"/>
      </w:pPr>
      <w:r>
        <w:t xml:space="preserve">Individual variation in movement and space use</w:t>
      </w:r>
    </w:p>
    <w:p>
      <w:pPr>
        <w:pStyle w:val="FirstParagraph"/>
      </w:pPr>
      <w:r>
        <w:t xml:space="preserve">The mean home range size across all monitored tapirs was 8.31 km</w:t>
      </w:r>
      <m:oMath>
        <m:sSup>
          <m:e>
            <m:r>
              <m:t>​</m:t>
            </m:r>
          </m:e>
          <m:sup>
            <m:r>
              <m:t>2</m:t>
            </m:r>
          </m:sup>
        </m:sSup>
      </m:oMath>
      <w:r>
        <w:t xml:space="preserve"> </w:t>
      </w:r>
      <w:r>
        <w:t xml:space="preserve">(95% CI: 6.53 - 10.42; Fig.</w:t>
      </w:r>
      <w:r>
        <w:t xml:space="preserve"> </w:t>
      </w:r>
      <w:r>
        <w:t xml:space="preserve">2</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3</w:t>
      </w:r>
      <w:r>
        <w:t xml:space="preserve">a). Tapirs had HR crossing times of 0.72 days on average (95% CI: 0.35 - 1.10), ranging from 0.05 to 12.8 days (Fig.</w:t>
      </w:r>
      <w:r>
        <w:t xml:space="preserve"> </w:t>
      </w:r>
      <w:r>
        <w:t xml:space="preserve">3</w:t>
      </w:r>
      <w:r>
        <w:t xml:space="preserve">b), and a mean velocity autocorrelation timescale of 0.44 hours (95% CI: 0.39 - 0.49), ranging from 0.17 to 1.88 hours (Fig.</w:t>
      </w:r>
      <w:r>
        <w:t xml:space="preserve"> </w:t>
      </w:r>
      <w:r>
        <w:t xml:space="preserve">3</w:t>
      </w:r>
      <w:r>
        <w:t xml:space="preserve">c). We estimated that tapirs had mean movement speeds of 11.2 km/day (95% CI: 10.2 - 12.1), ranging from 1.51 to 25.96 km/day (Fig.</w:t>
      </w:r>
      <w:r>
        <w:t xml:space="preserve"> </w:t>
      </w:r>
      <w:r>
        <w:t xml:space="preserve">3</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4</w:t>
      </w:r>
      <w:r>
        <w:t xml:space="preserve">a), nor between age groups (adults: 11.8 km/day, 95% CI: 10.6 - 13.2; sub-adults: 9.52 km/day, 95% CI: 7.94 - 11.4;</w:t>
      </w:r>
      <w:r>
        <w:t xml:space="preserve"> </w:t>
      </w:r>
      <m:oMath>
        <m:r>
          <m:t>p</m:t>
        </m:r>
        <m:r>
          <m:rPr>
            <m:sty m:val="p"/>
          </m:rPr>
          <m:t>=</m:t>
        </m:r>
        <m:r>
          <m:t>0.053</m:t>
        </m:r>
      </m:oMath>
      <w:r>
        <w:t xml:space="preserve">, Fig.</w:t>
      </w:r>
      <w:r>
        <w:t xml:space="preserve"> </w:t>
      </w:r>
      <w:r>
        <w:t xml:space="preserve">4</w:t>
      </w:r>
      <w:r>
        <w:t xml:space="preserve">b).</w:t>
      </w:r>
    </w:p>
    <w:p>
      <w:pPr>
        <w:pStyle w:val="CaptionedFigure"/>
      </w:pPr>
      <w:r>
        <w:drawing>
          <wp:inline>
            <wp:extent cx="5334000" cy="9908359"/>
            <wp:effectExtent b="0" l="0" r="0" t="0"/>
            <wp:docPr descr="Figure 2: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5"/>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2: Autocorrelated kernel density estimations of each tapir’s 95% home range.</w:t>
      </w:r>
    </w:p>
    <w:p>
      <w:pPr>
        <w:pStyle w:val="CaptionedFigure"/>
      </w:pPr>
      <w:r>
        <w:drawing>
          <wp:inline>
            <wp:extent cx="5334000" cy="6220408"/>
            <wp:effectExtent b="0" l="0" r="0" t="0"/>
            <wp:docPr descr="Figure 3: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6"/>
                    <a:stretch>
                      <a:fillRect/>
                    </a:stretch>
                  </pic:blipFill>
                  <pic:spPr bwMode="auto">
                    <a:xfrm>
                      <a:off x="0" y="0"/>
                      <a:ext cx="5334000" cy="6220408"/>
                    </a:xfrm>
                    <a:prstGeom prst="rect">
                      <a:avLst/>
                    </a:prstGeom>
                    <a:noFill/>
                    <a:ln w="9525">
                      <a:noFill/>
                      <a:headEnd/>
                      <a:tailEnd/>
                    </a:ln>
                  </pic:spPr>
                </pic:pic>
              </a:graphicData>
            </a:graphic>
          </wp:inline>
        </w:drawing>
      </w:r>
    </w:p>
    <w:p>
      <w:pPr>
        <w:pStyle w:val="ImageCaption"/>
      </w:pPr>
      <w:r>
        <w:t xml:space="preserve">Figure 3: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 title="" id="1" name="Picture"/>
            <a:graphic>
              <a:graphicData uri="http://schemas.openxmlformats.org/drawingml/2006/picture">
                <pic:pic>
                  <pic:nvPicPr>
                    <pic:cNvPr descr="../figures/boxplots.png" id="0" name="Picture"/>
                    <pic:cNvPicPr>
                      <a:picLocks noChangeArrowheads="1" noChangeAspect="1"/>
                    </pic:cNvPicPr>
                  </pic:nvPicPr>
                  <pic:blipFill>
                    <a:blip r:embed="rId37"/>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4</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4</w:t>
      </w:r>
      <w:r>
        <w:t xml:space="preserve">d)</w:t>
      </w:r>
      <w:r>
        <w:t xml:space="preserve"> </w:t>
      </w:r>
      <w:r>
        <w:rPr>
          <w:iCs/>
          <w:i/>
        </w:rPr>
        <w:t xml:space="preserve">META() IN CTMM</w:t>
      </w:r>
      <w:r>
        <w:t xml:space="preserve">.</w:t>
      </w:r>
    </w:p>
    <w:bookmarkEnd w:id="38"/>
    <w:bookmarkStart w:id="41"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3</w:t>
      </w:r>
      <w:r>
        <w:t xml:space="preserve">.</w:t>
      </w:r>
    </w:p>
    <w:p>
      <w:pPr>
        <w:pStyle w:val="BodyText"/>
      </w:pPr>
      <w:r>
        <w:t xml:space="preserve">We also found that habitat type had little effect on HR area or average individual movement speeds.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Fig.</w:t>
      </w:r>
      <w:r>
        <w:t xml:space="preserve"> </w:t>
      </w:r>
      <w:r>
        <w:t xml:space="preserve">5</w:t>
      </w:r>
      <w:r>
        <w:t xml:space="preserve">a),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persistence term (</w:t>
      </w:r>
      <m:oMath>
        <m:sSub>
          <m:e>
            <m:r>
              <m:t>τ</m:t>
            </m:r>
          </m:e>
          <m:sub>
            <m:r>
              <m:t>v</m:t>
            </m:r>
          </m:sub>
        </m:sSub>
      </m:oMath>
      <w:r>
        <w:t xml:space="preserve">) was significantly lower for animals who had a higher amount of forested area (Fig.</w:t>
      </w:r>
      <w:r>
        <w:t xml:space="preserve"> </w:t>
      </w:r>
      <w:r>
        <w:t xml:space="preserve">5</w:t>
      </w:r>
      <w:r>
        <w:t xml:space="preserve">b) or water (Fig.</w:t>
      </w:r>
      <w:r>
        <w:t xml:space="preserve"> </w:t>
      </w:r>
      <w:r>
        <w:t xml:space="preserve">5</w:t>
      </w:r>
      <w:r>
        <w:t xml:space="preserve">c) in their home ranges. Importantly, we note here that the directional persistence estimates were adjusted for the increased location error in the forested areas.</w:t>
      </w:r>
    </w:p>
    <w:p>
      <w:pPr>
        <w:pStyle w:val="CaptionedFigure"/>
      </w:pPr>
      <w:r>
        <w:drawing>
          <wp:inline>
            <wp:extent cx="5334000" cy="9908359"/>
            <wp:effectExtent b="0" l="0" r="0" t="0"/>
            <wp:docPr descr="Figure 5: Effect of habitat types on lowland tapir movement and space use.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 title="" id="1" name="Picture"/>
            <a:graphic>
              <a:graphicData uri="http://schemas.openxmlformats.org/drawingml/2006/picture">
                <pic:pic>
                  <pic:nvPicPr>
                    <pic:cNvPr descr="../figures/lu-regression-tau-v_NEW.png" id="0" name="Picture"/>
                    <pic:cNvPicPr>
                      <a:picLocks noChangeArrowheads="1" noChangeAspect="1"/>
                    </pic:cNvPicPr>
                  </pic:nvPicPr>
                  <pic:blipFill>
                    <a:blip r:embed="rId39"/>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5: Effect of habitat types on lowland tapir movement and space use.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w:t>
      </w:r>
    </w:p>
    <w:p>
      <w:pPr>
        <w:pStyle w:val="BodyText"/>
      </w:pPr>
      <w:r>
        <w:t xml:space="preserve">HFI had no significant effect on lowland tapir home range size (p-value = 0.90; Fig.</w:t>
      </w:r>
      <w:r>
        <w:t xml:space="preserve"> </w:t>
      </w:r>
      <w:r>
        <w:t xml:space="preserve">6</w:t>
      </w:r>
      <w:r>
        <w:t xml:space="preserve">a), nor average daily movement speed (p-value = 0.53; Fig.</w:t>
      </w:r>
      <w:r>
        <w:t xml:space="preserve"> </w:t>
      </w:r>
      <w:r>
        <w:t xml:space="preserve">6</w:t>
      </w:r>
      <w:r>
        <w:t xml:space="preserve">b), nor directional persistance (p-value = 0.596,</w:t>
      </w:r>
      <w:r>
        <w:t xml:space="preserve"> </w:t>
      </w:r>
      <m:oMath>
        <m:sSubSup>
          <m:e>
            <m:r>
              <m:t>R</m:t>
            </m:r>
          </m:e>
          <m:sub>
            <m:r>
              <m:t>a</m:t>
            </m:r>
            <m:r>
              <m:t>d</m:t>
            </m:r>
            <m:r>
              <m:t>j</m:t>
            </m:r>
          </m:sub>
          <m:sup>
            <m:r>
              <m:t>2</m:t>
            </m:r>
          </m:sup>
        </m:sSubSup>
        <m:r>
          <m:rPr>
            <m:sty m:val="p"/>
          </m:rPr>
          <m:t>=</m:t>
        </m:r>
        <m:r>
          <m:rPr>
            <m:sty m:val="p"/>
          </m:rPr>
          <m:t>−</m:t>
        </m:r>
        <m:r>
          <m:t>0.0184</m:t>
        </m:r>
      </m:oMath>
      <w:r>
        <w:t xml:space="preserve">). A tapir living in a near pristine environment (HFI = 0.004) was estimated as having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5334000" cy="2333001"/>
            <wp:effectExtent b="0" l="0" r="0" t="0"/>
            <wp:docPr descr="Figure 6: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0"/>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6: Estimated mean effect of machine-learning-based human footprint index (ml-HFI) on the tapirs’ estimated home range area and estimated average daily speed.</w:t>
      </w:r>
    </w:p>
    <w:bookmarkEnd w:id="41"/>
    <w:bookmarkEnd w:id="42"/>
    <w:bookmarkStart w:id="47" w:name="discussion"/>
    <w:p>
      <w:pPr>
        <w:pStyle w:val="Heading1"/>
      </w:pPr>
      <w:r>
        <w:t xml:space="preserve">Discussion</w:t>
      </w:r>
    </w:p>
    <w:p>
      <w:pPr>
        <w:pStyle w:val="FirstParagraph"/>
      </w:pPr>
      <w:r>
        <w:t xml:space="preserve">Understanding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emphasizes the need to understand the movement ecology of target populations when designing conservation and recovery strategies.</w:t>
      </w:r>
    </w:p>
    <w:bookmarkStart w:id="43" w:name="the-ecology-of-lowland-tapir-space-use"/>
    <w:p>
      <w:pPr>
        <w:pStyle w:val="Heading2"/>
      </w:pPr>
      <w:r>
        <w:t xml:space="preserve">The ecology of 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Appendix S1]. Tapirs living in the Pantanal, for instance, occupy a near pristine ecosystem but must cope with significant seasonal flooding, whereas individuals in the Cerrado occupied an agricultural and cattle ranching mosaic with more stability across seasons. The unique requirements of these three different biomes, however, did not impact the mean space use and daily movement speed of tapirs in any statistically detectable way.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that tapir movement was extremely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 We note though that the flooding regime in the Pantanal has been changing over the last decade and the biome is expected to become drier under the IPCC’s climate change scenarios</w:t>
      </w:r>
      <w:r>
        <w:t xml:space="preserve"> </w:t>
      </w:r>
      <w:r>
        <w:t xml:space="preserve">(Marengo, Oliveira, and Alves 2015)</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 Nonetheless, these differences did not translate into patterns in tapir home range sizes and mean daily movement speeds.</w:t>
      </w:r>
    </w:p>
    <w:bookmarkEnd w:id="43"/>
    <w:bookmarkStart w:id="44" w:name="Xf873ea30e1cc4221aee0b2262a9e4bef7d0b747"/>
    <w:p>
      <w:pPr>
        <w:pStyle w:val="Heading2"/>
      </w:pPr>
      <w:r>
        <w:t xml:space="preserve">Lowland tapir movement across a gradient of human disturbance</w:t>
      </w:r>
    </w:p>
    <w:p>
      <w:pPr>
        <w:pStyle w:val="FirstParagraph"/>
      </w:pP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12.4% of habitat remaining [Atlantica:2020], had home range sizes that were comparable in size to tapirs inhabiting the Cerrado, a biome that has lost almost 50% of its natural area</w:t>
      </w:r>
      <w:r>
        <w:t xml:space="preserve"> </w:t>
      </w:r>
      <w:r>
        <w:t xml:space="preserve">(Machado et al. 2004; Ministério da Agricultura 2021)</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intervals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 [</w:t>
      </w:r>
      <w:r>
        <w:t xml:space="preserve">E. Medici (2019)</w:t>
      </w:r>
      <w:r>
        <w:t xml:space="preserve">; Abra:2020],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risk being an ecological trap</w:t>
      </w:r>
      <w:r>
        <w:t xml:space="preserve"> </w:t>
      </w:r>
      <w:r>
        <w:t xml:space="preserve">(Schlaepfer, Runge, and Sherman 2002)</w:t>
      </w:r>
      <w:r>
        <w:t xml:space="preserve"> </w:t>
      </w:r>
      <w:r>
        <w:t xml:space="preserve">for tapirs as individuals showed no detectable responses to substantial degradation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It may also be possible that tapirs exhibit non-linear, or even binary, responses to human disturbance that were not possible to detect under the current study design. Future investigation into tapir behaviour in more heavily modified habitats is clearly warranted.</w:t>
      </w:r>
    </w:p>
    <w:bookmarkEnd w:id="44"/>
    <w:bookmarkStart w:id="45" w:name="conservation-implications"/>
    <w:p>
      <w:pPr>
        <w:pStyle w:val="Heading2"/>
      </w:pPr>
      <w:r>
        <w:t xml:space="preserve">Conservation implications</w:t>
      </w:r>
    </w:p>
    <w:p>
      <w:pPr>
        <w:pStyle w:val="FirstParagraph"/>
      </w:pPr>
      <w:r>
        <w:t xml:space="preserve">Results from this study support the priority actions set by the Lowland Tapir Conservation Action Plan published by the IUCN SSC Tapir Specialist Group (TSG) in 2007</w:t>
      </w:r>
      <w:r>
        <w:t xml:space="preserve"> </w:t>
      </w:r>
      <w:r>
        <w:t xml:space="preserve">(E. Medici et al. 2007)</w:t>
      </w:r>
      <w:r>
        <w:t xml:space="preserve"> </w:t>
      </w:r>
      <w:r>
        <w:t xml:space="preserve">and reviewed/updated every three years since then. Recommend actions include decreasing habitat loss and fragmentation and increasing measures to reduce other impacts in the landscape matrix (roadkill, hunting, fires). Results also support the main objectives set by the Lowland Tapir National Action Plan (PAN – Plano de Ação Nacional, ICMBIO – Instituto Chico Mendes de Conservação da Biodiversidade, Brazil) published in 2019. The PAN prioritizes the mitigation of the impact of small, isolated tapir populations, tapir roadkill, contamination by pesticides, poaching, and fires.</w:t>
      </w:r>
    </w:p>
    <w:p>
      <w:pPr>
        <w:pStyle w:val="BodyText"/>
      </w:pPr>
      <w:r>
        <w:t xml:space="preserve">However, addressing the principal threats to tapir persistence in anthropogenic areas such as the Atlantic Forest and the Cerrado will require additional efforts. The maximum distances recorded for tapir movements outside of the forest are less than the distances between most tapir populations, and population isolation emerges as one of the most important threats to the species’ long-term persistence. Distance is not the only issue, however, and roads can be death traps, preventing population expansions and inter-population connectivity even when the distances between populations are small. Hunting, which has historically been a leading cause of tapir declines, has fallen to the point that it is no longer an imminent threat for large populations, although still a significant threat in small populations. Diseases transmitted from domestic livestock are a chronic threat as many tapir populations inhabit forests surrounded by pastoral lands, and fires, often spreading from pasture burning, can destroy remaining forests and kill tapirs.</w:t>
      </w:r>
    </w:p>
    <w:bookmarkEnd w:id="45"/>
    <w:bookmarkStart w:id="46"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and fill a critical knowledge gap in lowland tapir ecology, which can contribute to long-term species management and conservation planning. Contrary to our expectations, we observed very little individual variability in lowland tapir space use and movement, and human impacts on the landscape also had no measurable effect on their movement. Lowland tapir movement behaviour thus appears to exhibit very little phenotypic plasticity. The lack of any adaptive response to anthropogenic disturbance suggests that human modified habitats risk being an ecological trap for tapirs and this information should be factored into conservation actions aimed towards protecting lowland tapir populations.</w:t>
      </w:r>
    </w:p>
    <w:bookmarkEnd w:id="46"/>
    <w:bookmarkEnd w:id="47"/>
    <w:bookmarkStart w:id="48"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48"/>
    <w:bookmarkStart w:id="136" w:name="references"/>
    <w:p>
      <w:pPr>
        <w:pStyle w:val="Heading1"/>
      </w:pPr>
      <w:r>
        <w:t xml:space="preserve">References</w:t>
      </w:r>
    </w:p>
    <w:bookmarkStart w:id="135" w:name="refs"/>
    <w:bookmarkStart w:id="49"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49"/>
    <w:bookmarkStart w:id="50"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0"/>
    <w:bookmarkStart w:id="51"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1"/>
    <w:bookmarkStart w:id="52"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2"/>
    <w:bookmarkStart w:id="53"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3"/>
    <w:bookmarkStart w:id="54" w:name="ref-Blackwell:2016dw"/>
    <w:p>
      <w:pPr>
        <w:pStyle w:val="Bibliography"/>
      </w:pPr>
      <w:r>
        <w:t xml:space="preserve">Blackwell, Paul G, Mu Niu, Mark S Lambert, and Scott D LaPoint. 2016.</w:t>
      </w:r>
      <w:r>
        <w:t xml:space="preserve"> </w:t>
      </w:r>
      <w:r>
        <w:t xml:space="preserve">“</w:t>
      </w:r>
      <w:r>
        <w:t xml:space="preserve">Exact Bayesian inference for animal movement in continuous time</w:t>
      </w:r>
      <w:r>
        <w:t xml:space="preserve">.”</w:t>
      </w:r>
      <w:r>
        <w:t xml:space="preserve"> </w:t>
      </w:r>
      <w:r>
        <w:rPr>
          <w:iCs/>
          <w:i/>
        </w:rPr>
        <w:t xml:space="preserve">Methods in Ecology and Evolution</w:t>
      </w:r>
      <w:r>
        <w:t xml:space="preserve"> </w:t>
      </w:r>
      <w:r>
        <w:t xml:space="preserve">7 (2): 184–95.</w:t>
      </w:r>
    </w:p>
    <w:bookmarkEnd w:id="54"/>
    <w:bookmarkStart w:id="55"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5"/>
    <w:bookmarkStart w:id="56" w:name="ref-Calabrese:2016"/>
    <w:p>
      <w:pPr>
        <w:pStyle w:val="Bibliography"/>
      </w:pPr>
      <w:r>
        <w:t xml:space="preserve">Calabrese, Justin M, Chris H Fleming, and Eliezer Gurarie. 2016.</w:t>
      </w:r>
      <w:r>
        <w:t xml:space="preserve"> </w:t>
      </w:r>
      <w:r>
        <w:t xml:space="preserve">“Ctmm: An r Package for Analyzing Animal Relocation Data as a Continuous-Time Stochastic Process.”</w:t>
      </w:r>
      <w:r>
        <w:t xml:space="preserve"> </w:t>
      </w:r>
      <w:r>
        <w:rPr>
          <w:iCs/>
          <w:i/>
        </w:rPr>
        <w:t xml:space="preserve">Methods in Ecology and Evolution</w:t>
      </w:r>
      <w:r>
        <w:t xml:space="preserve"> </w:t>
      </w:r>
      <w:r>
        <w:t xml:space="preserve">7 (9): 1124–32.</w:t>
      </w:r>
    </w:p>
    <w:bookmarkEnd w:id="56"/>
    <w:bookmarkStart w:id="57" w:name="ref-Calabrese:2021"/>
    <w:p>
      <w:pPr>
        <w:pStyle w:val="Bibliography"/>
      </w:pPr>
      <w:r>
        <w:t xml:space="preserve">Calabrese, Justin M, Christen H Fleming, Michael J Noonan, and Xianghui Dong. 2021.</w:t>
      </w:r>
      <w:r>
        <w:t xml:space="preserve"> </w:t>
      </w:r>
      <w:r>
        <w:t xml:space="preserve">“Ctmmweb: A Graphical User Interface for Autocorrelation-Informed Home Range Estimation.”</w:t>
      </w:r>
      <w:r>
        <w:t xml:space="preserve"> </w:t>
      </w:r>
      <w:r>
        <w:rPr>
          <w:iCs/>
          <w:i/>
        </w:rPr>
        <w:t xml:space="preserve">Wildlife Society Bulletin</w:t>
      </w:r>
      <w:r>
        <w:t xml:space="preserve"> </w:t>
      </w:r>
      <w:r>
        <w:t xml:space="preserve">45 (1): 162–69.</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8"/>
    <w:bookmarkStart w:id="7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Faria:2006"/>
    <w:p>
      <w:pPr>
        <w:pStyle w:val="Bibliography"/>
      </w:pPr>
      <w:r>
        <w:t xml:space="preserve">Helder Faria, and Andrea Soares Pires. 2006.</w:t>
      </w:r>
      <w:r>
        <w:t xml:space="preserve"> </w:t>
      </w:r>
      <w:r>
        <w:rPr>
          <w:iCs/>
          <w:i/>
        </w:rPr>
        <w:t xml:space="preserve">Parque Estadual Morro Do Diabo - Plano de Manejo. Governo Do Estado de s</w:t>
      </w:r>
      <w:r>
        <w:rPr>
          <w:iCs/>
          <w:i/>
        </w:rPr>
        <w:t xml:space="preserve">ã</w:t>
      </w:r>
      <w:r>
        <w:rPr>
          <w:iCs/>
          <w:i/>
        </w:rPr>
        <w:t xml:space="preserve">o Paulo, Secretaria Do Meio Ambiente, Instituto Florestal.</w:t>
      </w:r>
      <w:r>
        <w:t xml:space="preserve"> Viena, Santa Cruz do Rio Pardo, S</w:t>
      </w:r>
      <w:r>
        <w:t xml:space="preserve">ã</w:t>
      </w:r>
      <w:r>
        <w:t xml:space="preserve">o Paulo, Brazil.</w:t>
      </w:r>
    </w:p>
    <w:bookmarkEnd w:id="82"/>
    <w:bookmarkStart w:id="83"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3"/>
    <w:bookmarkStart w:id="84"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4"/>
    <w:bookmarkStart w:id="85"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5"/>
    <w:bookmarkStart w:id="87"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6">
        <w:r>
          <w:rPr>
            <w:rStyle w:val="Hyperlink"/>
          </w:rPr>
          <w:t xml:space="preserve">https://doi.org/10.32614/RJ-2013-014</w:t>
        </w:r>
      </w:hyperlink>
      <w:r>
        <w:t xml:space="preserve">.</w:t>
      </w:r>
    </w:p>
    <w:bookmarkEnd w:id="87"/>
    <w:bookmarkStart w:id="88"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8"/>
    <w:bookmarkStart w:id="89"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9"/>
    <w:bookmarkStart w:id="90"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90"/>
    <w:bookmarkStart w:id="91" w:name="ref-Marengo:2015"/>
    <w:p>
      <w:pPr>
        <w:pStyle w:val="Bibliography"/>
      </w:pPr>
      <w:r>
        <w:t xml:space="preserve">Marengo, Jose A, Gilvan S Oliveira, and Lincoln M Alves. 2015.</w:t>
      </w:r>
      <w:r>
        <w:t xml:space="preserve"> </w:t>
      </w:r>
      <w:r>
        <w:t xml:space="preserve">“Climate Change Scenarios in the Pantanal.”</w:t>
      </w:r>
      <w:r>
        <w:t xml:space="preserve"> </w:t>
      </w:r>
      <w:r>
        <w:t xml:space="preserve">In</w:t>
      </w:r>
      <w:r>
        <w:t xml:space="preserve"> </w:t>
      </w:r>
      <w:r>
        <w:rPr>
          <w:iCs/>
          <w:i/>
        </w:rPr>
        <w:t xml:space="preserve">Dynamics of the Pantanal Wetland in South America</w:t>
      </w:r>
      <w:r>
        <w:t xml:space="preserve">, 227–38. Springer.</w:t>
      </w:r>
    </w:p>
    <w:bookmarkEnd w:id="91"/>
    <w:bookmarkStart w:id="92"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92"/>
    <w:bookmarkStart w:id="93"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3"/>
    <w:bookmarkStart w:id="94"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4"/>
    <w:bookmarkStart w:id="95"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5"/>
    <w:bookmarkStart w:id="96" w:name="ref-Medici:2007"/>
    <w:p>
      <w:pPr>
        <w:pStyle w:val="Bibliography"/>
      </w:pPr>
      <w:r>
        <w:t xml:space="preserve">Medici, EP, A Desbiez, A Gonçalves da Silva, L Jerusalinsky, O Chassot, O Montenegro, JO Rodrı́guez, et al. 2007.</w:t>
      </w:r>
      <w:r>
        <w:t xml:space="preserve"> </w:t>
      </w:r>
      <w:r>
        <w:t xml:space="preserve">“Lowland Tapir (Tapirus Terrestris) Conservation Workshop: Final Report.”</w:t>
      </w:r>
      <w:r>
        <w:t xml:space="preserve"> </w:t>
      </w:r>
      <w:r>
        <w:rPr>
          <w:iCs/>
          <w:i/>
        </w:rPr>
        <w:t xml:space="preserve">IUCN/SSC Tapir Specialist Group &amp; IUCN/SSC Conservation Breeding Specialist Group-Brasil, Teodoro Sampaio, SP</w:t>
      </w:r>
      <w:r>
        <w:t xml:space="preserve">.</w:t>
      </w:r>
    </w:p>
    <w:bookmarkEnd w:id="96"/>
    <w:bookmarkStart w:id="97" w:name="ref-MAPA:2021"/>
    <w:p>
      <w:pPr>
        <w:pStyle w:val="Bibliography"/>
      </w:pPr>
      <w:r>
        <w:t xml:space="preserve">Ministério da Agricultura, Pecuária e Abastecimento. 2021.</w:t>
      </w:r>
      <w:r>
        <w:t xml:space="preserve"> </w:t>
      </w:r>
      <w:r>
        <w:rPr>
          <w:iCs/>
          <w:i/>
        </w:rPr>
        <w:t xml:space="preserve">TerraClass - Gest</w:t>
      </w:r>
      <w:r>
        <w:rPr>
          <w:iCs/>
          <w:i/>
        </w:rPr>
        <w:t xml:space="preserve">ã</w:t>
      </w:r>
      <w:r>
        <w:rPr>
          <w:iCs/>
          <w:i/>
        </w:rPr>
        <w:t xml:space="preserve">o Integrada Da Paisagem No Bioma Cerrado</w:t>
      </w:r>
      <w:r>
        <w:t xml:space="preserve">.</w:t>
      </w:r>
    </w:p>
    <w:bookmarkEnd w:id="97"/>
    <w:bookmarkStart w:id="98"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8"/>
    <w:bookmarkStart w:id="99"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9"/>
    <w:bookmarkStart w:id="100"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100"/>
    <w:bookmarkStart w:id="101"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101"/>
    <w:bookmarkStart w:id="103"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102">
        <w:r>
          <w:rPr>
            <w:rStyle w:val="Hyperlink"/>
          </w:rPr>
          <w:t xml:space="preserve">https://doi.org/10.1186/s40462-019-0177-1</w:t>
        </w:r>
      </w:hyperlink>
      <w:r>
        <w:t xml:space="preserve">.</w:t>
      </w:r>
    </w:p>
    <w:bookmarkEnd w:id="103"/>
    <w:bookmarkStart w:id="104"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4"/>
    <w:bookmarkStart w:id="105"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5"/>
    <w:bookmarkStart w:id="106"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6"/>
    <w:bookmarkStart w:id="107"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7"/>
    <w:bookmarkStart w:id="108"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8"/>
    <w:bookmarkStart w:id="110"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9">
        <w:r>
          <w:rPr>
            <w:rStyle w:val="Hyperlink"/>
          </w:rPr>
          <w:t xml:space="preserve">https://www.R-project.org/</w:t>
        </w:r>
      </w:hyperlink>
      <w:r>
        <w:t xml:space="preserve">.</w:t>
      </w:r>
    </w:p>
    <w:bookmarkEnd w:id="110"/>
    <w:bookmarkStart w:id="111"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11"/>
    <w:bookmarkStart w:id="112"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12"/>
    <w:bookmarkStart w:id="113"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13"/>
    <w:bookmarkStart w:id="114"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4"/>
    <w:bookmarkStart w:id="115"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5"/>
    <w:bookmarkStart w:id="116"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6"/>
    <w:bookmarkStart w:id="117"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7"/>
    <w:bookmarkStart w:id="118"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8"/>
    <w:bookmarkStart w:id="119"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9"/>
    <w:bookmarkStart w:id="120"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20"/>
    <w:bookmarkStart w:id="121"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21"/>
    <w:bookmarkStart w:id="122"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22"/>
    <w:bookmarkStart w:id="123"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23"/>
    <w:bookmarkStart w:id="124"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4"/>
    <w:bookmarkStart w:id="125"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5"/>
    <w:bookmarkStart w:id="127"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6">
        <w:r>
          <w:rPr>
            <w:rStyle w:val="Hyperlink"/>
          </w:rPr>
          <w:t xml:space="preserve">https://CRAN.R-project.org/package=furrr</w:t>
        </w:r>
      </w:hyperlink>
      <w:r>
        <w:t xml:space="preserve">.</w:t>
      </w:r>
    </w:p>
    <w:bookmarkEnd w:id="127"/>
    <w:bookmarkStart w:id="128"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8"/>
    <w:bookmarkStart w:id="129"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9"/>
    <w:bookmarkStart w:id="130"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30"/>
    <w:bookmarkStart w:id="131"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31"/>
    <w:bookmarkStart w:id="133"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32">
        <w:r>
          <w:rPr>
            <w:rStyle w:val="Hyperlink"/>
          </w:rPr>
          <w:t xml:space="preserve">https://ggplot2.tidyverse.org</w:t>
        </w:r>
      </w:hyperlink>
      <w:r>
        <w:t xml:space="preserve">.</w:t>
      </w:r>
    </w:p>
    <w:bookmarkEnd w:id="133"/>
    <w:bookmarkStart w:id="134"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4"/>
    <w:bookmarkEnd w:id="135"/>
    <w:p>
      <w:r>
        <w:br w:type="page"/>
      </w:r>
    </w:p>
    <w:bookmarkEnd w:id="136"/>
    <w:bookmarkStart w:id="143" w:name="appendix-s1"/>
    <w:p>
      <w:pPr>
        <w:pStyle w:val="Heading1"/>
      </w:pPr>
      <w:r>
        <w:t xml:space="preserve">Appendix S1</w:t>
      </w:r>
    </w:p>
    <w:p>
      <w:pPr>
        <w:pStyle w:val="FirstParagraph"/>
      </w:pPr>
      <w:r>
        <w:t xml:space="preserve">In this appendix we provide supporting information on all of the analyses presented in the main text.</w:t>
      </w:r>
    </w:p>
    <w:bookmarkStart w:id="138" w:name="X7046d61cfe7a68b8ac8f0fbad5cb67255934b14"/>
    <w:p>
      <w:pPr>
        <w:pStyle w:val="Heading2"/>
      </w:pPr>
      <w:r>
        <w:t xml:space="preserve">Home range estimates and data collection methods</w:t>
      </w:r>
    </w:p>
    <w:p>
      <w:pPr>
        <w:pStyle w:val="FirstParagraph"/>
      </w:pPr>
      <w:r>
        <w:t xml:space="preserve">The tapir location data included in this study were collected over 22 years using a mix of VHF and GPS tracking. As these two data types resulted in different sampling frequencies, it was possible for differences in autocorrelation to drive differences in the estimated home range areas</w:t>
      </w:r>
      <w:r>
        <w:t xml:space="preserve"> </w:t>
      </w:r>
      <w:r>
        <w:t xml:space="preserve">(M. J. Noonan et al. 2019)</w:t>
      </w:r>
      <w:r>
        <w:t xml:space="preserve">. We therefore carried out a supporting analysis to ensure that there was no relationship between data collection methods and the estimated home range estimates. We found that 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7</w:t>
      </w:r>
      <w:r>
        <w:t xml:space="preserve">).</w:t>
      </w:r>
    </w:p>
    <w:p>
      <w:pPr>
        <w:pStyle w:val="CaptionedFigure"/>
      </w:pPr>
      <w:r>
        <w:drawing>
          <wp:inline>
            <wp:extent cx="5334000" cy="3302786"/>
            <wp:effectExtent b="0" l="0" r="0" t="0"/>
            <wp:docPr descr="Figure 7: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137"/>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7: Estimated 95% home range area by tracking method. Tapirs were monitored using GPS collars, Very High Frequency (VHF) tracking, or both.</w:t>
      </w:r>
    </w:p>
    <w:p>
      <w:pPr>
        <w:pStyle w:val="BodyText"/>
      </w:pPr>
      <w:r>
        <w:t xml:space="preserve">These findings suggest that any of the results presented in the main text are robust to inter-individual differences in data collection.</w:t>
      </w:r>
    </w:p>
    <w:bookmarkEnd w:id="138"/>
    <w:bookmarkStart w:id="140" w:name="habitat-composition"/>
    <w:p>
      <w:pPr>
        <w:pStyle w:val="Heading2"/>
      </w:pPr>
      <w:r>
        <w:t xml:space="preserve">Habitat composition</w:t>
      </w:r>
    </w:p>
    <w:p>
      <w:pPr>
        <w:pStyle w:val="FirstParagraph"/>
      </w:pPr>
      <w:r>
        <w:t xml:space="preserve">Here we show how the habitat composition differed between each of the three study areas. In addition, we show how the proportion of each land use type within the home range of each tapir.</w:t>
      </w:r>
    </w:p>
    <w:p>
      <w:pPr>
        <w:pStyle w:val="CaptionedFigure"/>
      </w:pPr>
      <w:r>
        <w:drawing>
          <wp:inline>
            <wp:extent cx="5334000" cy="3110204"/>
            <wp:effectExtent b="0" l="0" r="0" t="0"/>
            <wp:docPr descr="Figure 8: Proportion of habitat type in each of the three study areas (a) and proportion of each land use type within the home range of each tapir (b)." title="" id="1" name="Picture"/>
            <a:graphic>
              <a:graphicData uri="http://schemas.openxmlformats.org/drawingml/2006/picture">
                <pic:pic>
                  <pic:nvPicPr>
                    <pic:cNvPr descr="../figures/habitat-types.png" id="0" name="Picture"/>
                    <pic:cNvPicPr>
                      <a:picLocks noChangeArrowheads="1" noChangeAspect="1"/>
                    </pic:cNvPicPr>
                  </pic:nvPicPr>
                  <pic:blipFill>
                    <a:blip r:embed="rId139"/>
                    <a:stretch>
                      <a:fillRect/>
                    </a:stretch>
                  </pic:blipFill>
                  <pic:spPr bwMode="auto">
                    <a:xfrm>
                      <a:off x="0" y="0"/>
                      <a:ext cx="5334000" cy="3110204"/>
                    </a:xfrm>
                    <a:prstGeom prst="rect">
                      <a:avLst/>
                    </a:prstGeom>
                    <a:noFill/>
                    <a:ln w="9525">
                      <a:noFill/>
                      <a:headEnd/>
                      <a:tailEnd/>
                    </a:ln>
                  </pic:spPr>
                </pic:pic>
              </a:graphicData>
            </a:graphic>
          </wp:inline>
        </w:drawing>
      </w:r>
    </w:p>
    <w:p>
      <w:pPr>
        <w:pStyle w:val="ImageCaption"/>
      </w:pPr>
      <w:r>
        <w:t xml:space="preserve">Figure 8: Proportion of habitat type in each of the three study areas (a) and proportion of each land use type within the home range of each tapir (b).</w:t>
      </w:r>
    </w:p>
    <w:bookmarkEnd w:id="140"/>
    <w:bookmarkStart w:id="142" w:name="influence-of-outliers"/>
    <w:p>
      <w:pPr>
        <w:pStyle w:val="Heading2"/>
      </w:pPr>
      <w:r>
        <w:t xml:space="preserve">Influence of outliers</w:t>
      </w:r>
    </w:p>
    <w:p>
      <w:pPr>
        <w:pStyle w:val="CaptionedFigure"/>
      </w:pPr>
      <w:r>
        <w:drawing>
          <wp:inline>
            <wp:extent cx="5334000" cy="4954179"/>
            <wp:effectExtent b="0" l="0" r="0" t="0"/>
            <wp:docPr descr="(#fig:lu-reg-tau-v_OUT)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1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(#fig:lu-reg-tau-v_OUT)Effect of forested area or water in a tapir’s home range on its estimated directional persistence. The point indicated as an outlier was removed from the dataset for the purpose of the regression.</w:t>
      </w:r>
    </w:p>
    <w:p>
      <w:pPr>
        <w:pStyle w:val="BodyText"/>
      </w:pPr>
      <w:r>
        <w:t xml:space="preserve">As noted in the main text, HFI had no significant effect on lowland tapir home range size, nor average daily movement speed, nor directional persistence. These findings were consistent before and after removing outliers (p-value = 0.596,</w:t>
      </w:r>
      <w:r>
        <w:t xml:space="preserve"> </w:t>
      </w:r>
      <m:oMath>
        <m:sSubSup>
          <m:e>
            <m:r>
              <m:t>R</m:t>
            </m:r>
          </m:e>
          <m:sub>
            <m:r>
              <m:t>a</m:t>
            </m:r>
            <m:r>
              <m:t>d</m:t>
            </m:r>
            <m:r>
              <m:t>j</m:t>
            </m:r>
          </m:sub>
          <m:sup>
            <m:r>
              <m:t>2</m:t>
            </m:r>
          </m:sup>
        </m:sSubSup>
        <m:r>
          <m:rPr>
            <m:sty m:val="p"/>
          </m:rPr>
          <m:t>=</m:t>
        </m:r>
        <m:r>
          <m:rPr>
            <m:sty m:val="p"/>
          </m:rPr>
          <m:t>−</m:t>
        </m:r>
        <m:r>
          <m:t>0.0184</m:t>
        </m:r>
      </m:oMath>
      <w:r>
        <w:t xml:space="preserve">; p-value = 0.188,</w:t>
      </w:r>
      <w:r>
        <w:t xml:space="preserve"> </w:t>
      </w:r>
      <m:oMath>
        <m:sSubSup>
          <m:e>
            <m:r>
              <m:t>R</m:t>
            </m:r>
          </m:e>
          <m:sub>
            <m:r>
              <m:t>a</m:t>
            </m:r>
            <m:r>
              <m:t>d</m:t>
            </m:r>
            <m:r>
              <m:t>j</m:t>
            </m:r>
          </m:sub>
          <m:sup>
            <m:r>
              <m:t>2</m:t>
            </m:r>
          </m:sup>
        </m:sSubSup>
        <m:r>
          <m:rPr>
            <m:sty m:val="p"/>
          </m:rPr>
          <m:t>=</m:t>
        </m:r>
        <m:r>
          <m:t>0.0129</m:t>
        </m:r>
      </m:oMath>
      <w:r>
        <w:t xml:space="preserve">, respectively).</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39" Target="media/rId1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41" Target="media/rId14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137" Target="media/rId137.png" /><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2021-10-31T22:57:51Z</dcterms:created>
  <dcterms:modified xsi:type="dcterms:W3CDTF">2021-10-31T22:57:51Z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